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gif" PartName="/word/media/header_image_rId1.gif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Bdr>
          <w:top w:val="single" w:color="black" w:sz="4" w:space="0"/>
          <w:left w:val="single" w:color="black" w:sz="4" w:space="0"/>
          <w:bottom w:val="single" w:color="black" w:sz="4" w:space="0"/>
          <w:right w:val="single" w:color="black" w:sz="4" w:space="0"/>
          <w:between w:val="single" w:color="black" w:sz="4" w:space="0"/>
        </w:pBdr>
      </w:pPr>
      <w:r>
        <w:rPr>
          <w:rFonts w:ascii="Arial" w:hAnsi="Arial" w:eastAsia="Arial"/>
          <w:b w:val="true"/>
        </w:rPr>
        <w:t xml:space="preserve">Sanctions program: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</w:rPr>
        <w:t xml:space="preserve">Situation in der Ukraine: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</w:rPr>
        <w:t xml:space="preserve">Verordnung vom 27. August 2014 über Massnahmen zur Vermeidung der Umgehung internationaler Sanktionen im Zusammenhang mit der Situation in der Ukraine (SR 946.231.176.72), Anhänge 2, 3 und 4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  <w:b w:val="true"/>
        </w:rPr>
        <w:t xml:space="preserve">Origin: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</w:rPr>
        <w:t xml:space="preserve">EU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  <w:b w:val="true"/>
        </w:rPr>
        <w:t xml:space="preserve">Sanctions: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</w:rPr>
        <w:t xml:space="preserve">Art. 8 (Verbot der Eröffnung neuer Geschäftsbeziehungen)</w:t>
      </w:r>
    </w:p>
    <w:p>
      <w:r>
        <w:rPr>
          <w:rFonts w:ascii="Arial" w:hAnsi="Arial" w:eastAsia="Arial"/>
          <w:b w:val="true"/>
        </w:rPr>
        <w:t xml:space="preserve">Individuals</w:t>
      </w:r>
    </w:p>
    <w:p>
      <w:r>
        <w:rPr>
          <w:rFonts w:ascii="Arial" w:hAnsi="Arial" w:eastAsia="Arial"/>
          <w:b w:val="true"/>
        </w:rPr>
        <w:t xml:space="preserve">SSID: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</w:rPr>
        <w:t xml:space="preserve">175-27685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  <w:b w:val="true"/>
        </w:rPr>
        <w:t xml:space="preserve">Name: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</w:rPr>
        <w:t xml:space="preserve">Volodin Vyacheslav Viktorovich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  <w:b w:val="true"/>
        </w:rPr>
        <w:t xml:space="preserve">Spelling variant: </w:t>
      </w:r>
      <w:r>
        <w:rPr>
          <w:rFonts w:ascii="Arial" w:hAnsi="Arial" w:eastAsia="Arial"/>
        </w:rPr>
        <w:t xml:space="preserve">Володин Вячеслав Викторович (Russian)</w:t>
      </w:r>
      <w:r>
        <w:rPr>
          <w:rFonts w:ascii="Arial" w:hAnsi="Arial" w:eastAsia="Arial"/>
        </w:rPr>
        <w:t xml:space="preserve"> </w:t>
      </w:r>
      <w:r>
        <w:br/>
      </w:r>
      <w:r>
        <w:rPr>
          <w:rFonts w:ascii="Arial" w:hAnsi="Arial" w:eastAsia="Arial"/>
          <w:b w:val="true"/>
        </w:rPr>
        <w:t xml:space="preserve">DOB: </w:t>
      </w:r>
      <w:r>
        <w:rPr>
          <w:rFonts w:ascii="Arial" w:hAnsi="Arial" w:eastAsia="Arial"/>
        </w:rPr>
        <w:t xml:space="preserve">4 Feb 1964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  <w:b w:val="true"/>
        </w:rPr>
        <w:t xml:space="preserve">POB: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</w:rPr>
        <w:t xml:space="preserve">Alekseevka, Saratov region</w:t>
      </w:r>
      <w:r>
        <w:rPr>
          <w:rFonts w:ascii="Arial" w:hAnsi="Arial" w:eastAsia="Arial"/>
        </w:rPr>
        <w:t xml:space="preserve"> </w:t>
      </w:r>
      <w:r>
        <w:br/>
      </w:r>
      <w:r>
        <w:rPr>
          <w:rFonts w:ascii="Arial" w:hAnsi="Arial" w:eastAsia="Arial"/>
          <w:b w:val="true"/>
        </w:rPr>
        <w:t xml:space="preserve">Justification: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  <w:b w:val="true"/>
        </w:rPr>
        <w:t xml:space="preserve">a) </w:t>
      </w:r>
      <w:r>
        <w:rPr>
          <w:rFonts w:ascii="Arial" w:hAnsi="Arial" w:eastAsia="Arial"/>
        </w:rPr>
        <w:t xml:space="preserve">Former First Deputy Chief of Staff of the Presidential Administration of Russia. Responsible for overseeing the political integration of the annexed Ukrainian region of Crimea into the Russian Federation.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  <w:b w:val="true"/>
        </w:rPr>
        <w:t xml:space="preserve">b) </w:t>
      </w:r>
      <w:r>
        <w:rPr>
          <w:rFonts w:ascii="Arial" w:hAnsi="Arial" w:eastAsia="Arial"/>
        </w:rPr>
        <w:t xml:space="preserve">Currently Speaker of the State Duma of the Russian Federation since 5 Oct 2016.</w:t>
      </w:r>
      <w:r>
        <w:rPr>
          <w:rFonts w:ascii="Arial" w:hAnsi="Arial" w:eastAsia="Arial"/>
        </w:rPr>
        <w:t xml:space="preserve"> </w:t>
      </w:r>
      <w:r>
        <w:rPr>
          <w:rFonts w:ascii="Arial" w:hAnsi="Arial" w:eastAsia="Arial"/>
          <w:b w:val="true"/>
        </w:rPr>
        <w:t xml:space="preserve">Modifications: </w:t>
      </w:r>
      <w:r>
        <w:rPr>
          <w:rFonts w:ascii="Arial" w:hAnsi="Arial" w:eastAsia="Arial"/>
        </w:rPr>
        <w:t xml:space="preserve">Listed on 20 May 2014, amended on 6 Oct 2015, 24 Mar 2017</w:t>
      </w:r>
    </w:p>
    <w:sectPr>
      <w:headerReference w:type="first" r:id="rId2"/>
      <w:pgSz w:w="11907" w:h="16839" w:code="9"/>
      <w:pgMar w:top="1440" w:right="1440" w:bottom="1440" w:left="1440"/>
      <w:titlePg w:val="true"/>
    </w:sectPr>
  </w:body>
</w:document>
</file>

<file path=word/header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W w:w="5288" w:type="pct"/>
      <w:tblInd w:w="-595" w:type="dxa"/>
    </w:tblPr>
    <w:tr>
      <w:tc>
        <w:tcPr>
          <w:tcW w:w="2500" w:type="pct"/>
        </w:tcPr>
        <w:p>
          <w:r>
            <w:drawing>
              <wp:inline distT="0" distB="0" distL="0" distR="0">
                <wp:extent cx="1979930" cy="510451"/>
                <wp:effectExtent l="0" t="0" r="0" b="0"/>
                <wp:docPr id="309" name="logoBund" descr="Logo Bund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310" name="logoBun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510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/>
        <w:p>
          <w:pPr>
            <w:spacing w:before="0" w:after="0" w:line="200" w:lineRule="exac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Eidgenössisches Departement für</w:t>
          </w:r>
        </w:p>
        <w:p>
          <w:pPr>
            <w:spacing w:before="0" w:after="100" w:line="200" w:lineRule="exac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Wirtschaft, Bildung und Forschung WBF</w:t>
          </w:r>
        </w:p>
        <w:p>
          <w:pPr>
            <w:spacing w:before="0" w:after="0" w:line="200" w:lineRule="exac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b w:val="true"/>
              <w:sz w:val="15"/>
              <w:szCs w:val="15"/>
            </w:rPr>
            <w:t>Staatssekretariat für Wirtschaft SECO</w:t>
          </w:r>
        </w:p>
        <w:p>
          <w:pPr>
            <w:spacing w:before="0" w:after="0" w:line="200" w:lineRule="exac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Bilaterale Wirtschaftsbeziehungen</w:t>
          </w:r>
        </w:p>
        <w:p>
          <w:pPr>
            <w:spacing w:before="0" w:after="400" w:line="200" w:lineRule="exac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Sanktionen</w:t>
          </w:r>
        </w:p>
        <w:p>
          <w:pPr>
            <w:spacing w:before="0" w:after="400" w:line="200" w:lineRule="exac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Version vom 27.09.2018</w:t>
          </w:r>
        </w:p>
      </w:tc>
    </w:tr>
  </w:tbl>
</w:hdr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header.xml" Type="http://schemas.openxmlformats.org/officeDocument/2006/relationships/header" Id="rId2"/></Relationships>
</file>

<file path=word/_rels/header.xml.rels><?xml version="1.0" encoding="UTF-8" standalone="yes"?><Relationships xmlns="http://schemas.openxmlformats.org/package/2006/relationships"><Relationship Target="media/header_image_rId1.gif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